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pPr>
      <w:r>
        <w:drawing>
          <wp:anchor distT="0" distB="0" distL="0" distR="0" simplePos="0" allowOverlap="1" behindDoc="0" locked="0" layoutInCell="1" relativeHeight="1">
            <wp:simplePos x="0" y="0"/>
            <wp:positionH relativeFrom="page">
              <wp:posOffset>0</wp:posOffset>
            </wp:positionH>
            <wp:positionV relativeFrom="page">
              <wp:posOffset>0</wp:posOffset>
            </wp:positionV>
            <wp:extent cx="10287000" cy="12858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287000" cy="12858750"/>
                    </a:xfrm>
                    <a:prstGeom prst="rect">
                      <a:avLst/>
                    </a:prstGeom>
                  </pic:spPr>
                </pic:pic>
              </a:graphicData>
            </a:graphic>
          </wp:anchor>
        </w:drawing>
      </w:r>
    </w:p>
    <w:p>
      <w:pPr>
        <w:sectPr>
          <w:headerReference w:type="default" r:id="rId7"/>
          <w:footerReference w:type="default" r:id="rId8"/>
          <w:pgSz w:w="16200" w:h="20250" w:orient="portrait"/>
          <w:pgMar w:top="0" w:right="0" w:bottom="0" w:left="0" w:header="0" w:footer="0" w:gutter="0"/>
          <w:pgNumType/>
          <w:docGrid w:linePitch="360"/>
        </w:sectPr>
      </w:pPr>
    </w:p>
    <w:p>
      <w:pPr>
        <w:spacing w:after="60"/>
      </w:pPr>
      <w:r>
        <w:rPr>
          <w:rFonts w:ascii="Inter" w:cs="Inter" w:eastAsia="Inter" w:hAnsi="Inter"/>
          <w:b/>
          <w:bCs/>
          <w:color w:val="F4AF30"/>
          <w:sz w:val="20"/>
          <w:szCs w:val="20"/>
        </w:rPr>
        <w:t xml:space="preserve">TEMPLATE</w:t>
      </w:r>
    </w:p>
    <w:p>
      <w:pPr>
        <w:spacing w:after="200"/>
      </w:pPr>
      <w:r>
        <w:rPr>
          <w:rFonts w:ascii="Inter" w:cs="Inter" w:eastAsia="Inter" w:hAnsi="Inter"/>
          <w:b/>
          <w:bCs/>
          <w:color w:val="3B3D4F"/>
          <w:sz w:val="44"/>
          <w:szCs w:val="44"/>
        </w:rPr>
        <w:t xml:space="preserve">Employee Attendance Policy</w:t>
      </w:r>
    </w:p>
    <w:p>
      <w:pPr>
        <w:spacing w:after="160" w:line="288"/>
      </w:pPr>
      <w:r>
        <w:rPr>
          <w:rFonts w:ascii="Inter" w:cs="Inter" w:eastAsia="Inter" w:hAnsi="Inter"/>
          <w:color w:val="3B3D4F"/>
          <w:sz w:val="21"/>
          <w:szCs w:val="21"/>
        </w:rPr>
        <w:t xml:space="preserve">This template gives frontline employers a starting point for a clear, consistent attendance policy. It is built for shift-based operations such as manufacturing, food processing, energy, public safety, and healthcare, where reliable coverage directly affects safety and output. Replace bracketed placeholders with details specific to your organization, and route the final draft through legal counsel before distribution.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c>
          <w:tcPr>
            <w:tcW w:type="dxa" w:w="9360"/>
            <w:tcBorders>
              <w:top w:val="single" w:color="B6CEFB" w:sz="4"/>
              <w:left w:val="single" w:color="0C58E5" w:sz="24"/>
              <w:bottom w:val="single" w:color="B6CEFB" w:sz="4"/>
              <w:right w:val="single" w:color="B6CEFB" w:sz="4"/>
            </w:tcBorders>
            <w:shd w:fill="EEF3FD" w:val="clear"/>
            <w:tcMar>
              <w:top w:type="dxa" w:w="160"/>
              <w:left w:type="dxa" w:w="200"/>
              <w:bottom w:type="dxa" w:w="160"/>
              <w:right w:type="dxa" w:w="200"/>
            </w:tcMar>
          </w:tcPr>
          <w:p>
            <w:r>
              <w:rPr>
                <w:rFonts w:ascii="Inter" w:cs="Inter" w:eastAsia="Inter" w:hAnsi="Inter"/>
                <w:b/>
                <w:bCs/>
                <w:color w:val="0C58E5"/>
                <w:sz w:val="20"/>
                <w:szCs w:val="20"/>
              </w:rPr>
              <w:t xml:space="preserve">Customization note: </w:t>
            </w:r>
            <w:r>
              <w:rPr>
                <w:rFonts w:ascii="Inter" w:cs="Inter" w:eastAsia="Inter" w:hAnsi="Inter"/>
                <w:color w:val="3B3D4F"/>
                <w:sz w:val="20"/>
                <w:szCs w:val="20"/>
              </w:rPr>
              <w:t xml:space="preserve">Text in brackets and blue is meant to be customized. Everything else can be adopted as written or adjusted to match your organization's tone and existing handbook language.</w:t>
            </w:r>
          </w:p>
        </w:tc>
      </w:tr>
    </w:tbl>
    <w:p>
      <w:pPr>
        <w:spacing w:after="200"/>
      </w:pPr>
    </w:p>
    <w:p>
      <w:pPr>
        <w:pStyle w:val="Heading1"/>
        <w:pBdr>
          <w:bottom w:val="single" w:color="0C58E5" w:sz="12" w:space="4"/>
        </w:pBdr>
        <w:spacing w:after="160" w:before="360"/>
      </w:pPr>
      <w:r>
        <w:rPr>
          <w:rFonts w:ascii="Inter" w:cs="Inter" w:eastAsia="Inter" w:hAnsi="Inter"/>
          <w:b/>
          <w:bCs/>
          <w:color w:val="0C58E5"/>
          <w:sz w:val="26"/>
          <w:szCs w:val="26"/>
        </w:rPr>
        <w:t xml:space="preserve">1. Purpose</w:t>
      </w:r>
    </w:p>
    <w:p>
      <w:pPr>
        <w:spacing w:after="160" w:line="288"/>
      </w:pPr>
      <w:r>
        <w:rPr>
          <w:rFonts w:ascii="Inter" w:cs="Inter" w:eastAsia="Inter" w:hAnsi="Inter"/>
          <w:b w:val="false"/>
          <w:bCs w:val="false"/>
          <w:color w:val="3B3D4F"/>
          <w:sz w:val="21"/>
          <w:szCs w:val="21"/>
        </w:rPr>
        <w:t xml:space="preserve">[Company Name] </w:t>
      </w:r>
      <w:r>
        <w:rPr>
          <w:rFonts w:ascii="Inter" w:cs="Inter" w:eastAsia="Inter" w:hAnsi="Inter"/>
          <w:b w:val="false"/>
          <w:bCs w:val="false"/>
          <w:color w:val="3B3D4F"/>
          <w:sz w:val="21"/>
          <w:szCs w:val="21"/>
        </w:rPr>
        <w:t xml:space="preserve">depends on employees being present and on time for their scheduled shifts. Consistent attendance keeps production lines running, service levels met, and coworkers from carrying an unfair share of the workload. This policy explains what is expected of employees, how to report an absence or late arrival, and what happens when attendance expectations are not met.</w:t>
      </w:r>
    </w:p>
    <w:p>
      <w:pPr>
        <w:pStyle w:val="Heading1"/>
        <w:pBdr>
          <w:bottom w:val="single" w:color="0C58E5" w:sz="12" w:space="4"/>
        </w:pBdr>
        <w:spacing w:after="160" w:before="360"/>
      </w:pPr>
      <w:r>
        <w:rPr>
          <w:rFonts w:ascii="Inter" w:cs="Inter" w:eastAsia="Inter" w:hAnsi="Inter"/>
          <w:b/>
          <w:bCs/>
          <w:color w:val="0C58E5"/>
          <w:sz w:val="26"/>
          <w:szCs w:val="26"/>
        </w:rPr>
        <w:t xml:space="preserve">2. Scope</w:t>
      </w:r>
    </w:p>
    <w:p>
      <w:pPr>
        <w:spacing w:after="160" w:line="288"/>
      </w:pPr>
      <w:r>
        <w:rPr>
          <w:rFonts w:ascii="Inter" w:cs="Inter" w:eastAsia="Inter" w:hAnsi="Inter"/>
          <w:color w:val="3B3D4F"/>
          <w:sz w:val="21"/>
          <w:szCs w:val="21"/>
        </w:rPr>
        <w:t xml:space="preserve">This policy applies to all full-time, part-time, and temporary employees, across all shifts and locations, unless a separate agreement (such as a collective bargaining agreement) states otherwise.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c>
          <w:tcPr>
            <w:tcW w:type="dxa" w:w="9360"/>
            <w:tcBorders>
              <w:top w:val="single" w:color="B6CEFB" w:sz="4"/>
              <w:left w:val="single" w:color="0C58E5" w:sz="24"/>
              <w:bottom w:val="single" w:color="B6CEFB" w:sz="4"/>
              <w:right w:val="single" w:color="B6CEFB" w:sz="4"/>
            </w:tcBorders>
            <w:shd w:fill="EEF3FD" w:val="clear"/>
            <w:tcMar>
              <w:top w:type="dxa" w:w="160"/>
              <w:left w:type="dxa" w:w="200"/>
              <w:bottom w:type="dxa" w:w="160"/>
              <w:right w:type="dxa" w:w="200"/>
            </w:tcMar>
          </w:tcPr>
          <w:p>
            <w:r>
              <w:rPr>
                <w:rFonts w:ascii="Inter" w:cs="Inter" w:eastAsia="Inter" w:hAnsi="Inter"/>
                <w:b/>
                <w:bCs/>
                <w:color w:val="0C58E5"/>
                <w:sz w:val="20"/>
                <w:szCs w:val="20"/>
              </w:rPr>
              <w:t xml:space="preserve">Customization note: </w:t>
            </w:r>
            <w:r>
              <w:rPr>
                <w:rFonts w:ascii="Inter" w:cs="Inter" w:eastAsia="Inter" w:hAnsi="Inter"/>
                <w:color w:val="3B3D4F"/>
                <w:sz w:val="20"/>
                <w:szCs w:val="20"/>
              </w:rPr>
              <w:t xml:space="preserve">If any group is governed by a union contract or a different set of work rules, note that here and confirm this policy does not conflict with the agreement.</w:t>
            </w:r>
          </w:p>
        </w:tc>
      </w:tr>
    </w:tbl>
    <w:p>
      <w:pPr>
        <w:pStyle w:val="Heading1"/>
        <w:pBdr>
          <w:bottom w:val="single" w:color="0C58E5" w:sz="12" w:space="4"/>
        </w:pBdr>
        <w:spacing w:after="160" w:before="360"/>
      </w:pPr>
      <w:r>
        <w:rPr>
          <w:rFonts w:ascii="Inter" w:cs="Inter" w:eastAsia="Inter" w:hAnsi="Inter"/>
          <w:b/>
          <w:bCs/>
          <w:color w:val="0C58E5"/>
          <w:sz w:val="26"/>
          <w:szCs w:val="26"/>
        </w:rPr>
        <w:t xml:space="preserve">3. Definitions</w:t>
      </w:r>
    </w:p>
    <w:p>
      <w:pPr>
        <w:pStyle w:val="ListParagraph"/>
        <w:numPr>
          <w:ilvl w:val="0"/>
          <w:numId w:val="2"/>
        </w:numPr>
        <w:spacing w:after="100" w:line="276"/>
      </w:pPr>
      <w:r>
        <w:rPr>
          <w:rFonts w:ascii="Inter" w:cs="Inter" w:eastAsia="Inter" w:hAnsi="Inter"/>
          <w:color w:val="3B3D4F"/>
          <w:sz w:val="21"/>
          <w:szCs w:val="21"/>
        </w:rPr>
        <w:t xml:space="preserve">Absence: A scheduled shift the employee does not work, in full or in part.</w:t>
      </w:r>
    </w:p>
    <w:p>
      <w:pPr>
        <w:pStyle w:val="ListParagraph"/>
        <w:numPr>
          <w:ilvl w:val="0"/>
          <w:numId w:val="2"/>
        </w:numPr>
        <w:spacing w:after="100" w:line="276"/>
      </w:pPr>
      <w:r>
        <w:rPr>
          <w:rFonts w:ascii="Inter" w:cs="Inter" w:eastAsia="Inter" w:hAnsi="Inter"/>
          <w:color w:val="3B3D4F"/>
          <w:sz w:val="21"/>
          <w:szCs w:val="21"/>
        </w:rPr>
        <w:t xml:space="preserve">Excused absence: An absence approved in advance or covered under a protected leave category, such as FMLA, ADA accommodation, jury duty, bereavement, or military leave.</w:t>
      </w:r>
    </w:p>
    <w:p>
      <w:pPr>
        <w:pStyle w:val="ListParagraph"/>
        <w:numPr>
          <w:ilvl w:val="0"/>
          <w:numId w:val="2"/>
        </w:numPr>
        <w:spacing w:after="100" w:line="276"/>
      </w:pPr>
      <w:r>
        <w:rPr>
          <w:rFonts w:ascii="Inter" w:cs="Inter" w:eastAsia="Inter" w:hAnsi="Inter"/>
          <w:color w:val="3B3D4F"/>
          <w:sz w:val="21"/>
          <w:szCs w:val="21"/>
        </w:rPr>
        <w:t xml:space="preserve">Unexcused absence: An absence that is not approved in advance and does not fall under a protected leave category.</w:t>
      </w:r>
    </w:p>
    <w:p>
      <w:pPr>
        <w:pStyle w:val="ListParagraph"/>
        <w:numPr>
          <w:ilvl w:val="0"/>
          <w:numId w:val="2"/>
        </w:numPr>
        <w:spacing w:after="100" w:line="276"/>
      </w:pPr>
      <w:r>
        <w:rPr>
          <w:rFonts w:ascii="Inter" w:cs="Inter" w:eastAsia="Inter" w:hAnsi="Inter"/>
          <w:color w:val="3B3D4F"/>
          <w:sz w:val="21"/>
          <w:szCs w:val="21"/>
        </w:rPr>
        <w:t xml:space="preserve">Tardiness: Arriving after the scheduled shift start time, including late return from a break or lunch.</w:t>
      </w:r>
    </w:p>
    <w:p>
      <w:pPr>
        <w:pStyle w:val="ListParagraph"/>
        <w:numPr>
          <w:ilvl w:val="0"/>
          <w:numId w:val="2"/>
        </w:numPr>
        <w:spacing w:after="100" w:line="276"/>
      </w:pPr>
      <w:r>
        <w:rPr>
          <w:rFonts w:ascii="Inter" w:cs="Inter" w:eastAsia="Inter" w:hAnsi="Inter"/>
          <w:color w:val="3B3D4F"/>
          <w:sz w:val="21"/>
          <w:szCs w:val="21"/>
        </w:rPr>
        <w:t xml:space="preserve">Early departure: Leaving before the scheduled end of a shift without approval.</w:t>
      </w:r>
    </w:p>
    <w:p>
      <w:pPr>
        <w:pStyle w:val="ListParagraph"/>
        <w:numPr>
          <w:ilvl w:val="0"/>
          <w:numId w:val="2"/>
        </w:numPr>
        <w:spacing w:after="100" w:line="276"/>
      </w:pPr>
      <w:r>
        <w:rPr>
          <w:rFonts w:ascii="Inter" w:cs="Inter" w:eastAsia="Inter" w:hAnsi="Inter"/>
          <w:color w:val="3B3D4F"/>
          <w:sz w:val="21"/>
          <w:szCs w:val="21"/>
        </w:rPr>
        <w:t xml:space="preserve">No call, no show: Failing to report for a scheduled shift without notifying a supervisor within the required notice window.</w:t>
      </w:r>
    </w:p>
    <w:p>
      <w:pPr>
        <w:pStyle w:val="ListParagraph"/>
        <w:numPr>
          <w:ilvl w:val="0"/>
          <w:numId w:val="2"/>
        </w:numPr>
        <w:spacing w:after="100" w:line="276"/>
      </w:pPr>
      <w:r>
        <w:rPr>
          <w:rFonts w:ascii="Inter" w:cs="Inter" w:eastAsia="Inter" w:hAnsi="Inter"/>
          <w:color w:val="3B3D4F"/>
          <w:sz w:val="21"/>
          <w:szCs w:val="21"/>
        </w:rPr>
        <w:t xml:space="preserve">Job abandonment: [Two or more] consecutive no call, no show occurrences, treated as a voluntary resignation.</w:t>
      </w:r>
    </w:p>
    <w:p>
      <w:pPr>
        <w:pStyle w:val="Heading1"/>
        <w:pBdr>
          <w:bottom w:val="single" w:color="0C58E5" w:sz="12" w:space="4"/>
        </w:pBdr>
        <w:spacing w:after="160" w:before="360"/>
      </w:pPr>
      <w:r>
        <w:rPr>
          <w:rFonts w:ascii="Inter" w:cs="Inter" w:eastAsia="Inter" w:hAnsi="Inter"/>
          <w:b/>
          <w:bCs/>
          <w:color w:val="0C58E5"/>
          <w:sz w:val="26"/>
          <w:szCs w:val="26"/>
        </w:rPr>
        <w:t xml:space="preserve">4. Work Hours and Scheduling</w:t>
      </w:r>
    </w:p>
    <w:p>
      <w:pPr>
        <w:spacing w:after="160" w:line="288"/>
      </w:pPr>
      <w:r>
        <w:rPr>
          <w:rFonts w:ascii="Inter" w:cs="Inter" w:eastAsia="Inter" w:hAnsi="Inter"/>
          <w:color w:val="3B3D4F"/>
          <w:sz w:val="21"/>
          <w:szCs w:val="21"/>
        </w:rPr>
        <w:t xml:space="preserve">Employees are expected to work the hours assigned on their published schedule, arrive ready to begin at the scheduled start time, and remain for the full shift unless a change has been approved in advance.</w:t>
      </w:r>
    </w:p>
    <w:p>
      <w:pPr>
        <w:pStyle w:val="ListParagraph"/>
        <w:numPr>
          <w:ilvl w:val="0"/>
          <w:numId w:val="2"/>
        </w:numPr>
        <w:spacing w:after="100" w:line="276"/>
      </w:pPr>
      <w:r>
        <w:rPr>
          <w:rFonts w:ascii="Inter" w:cs="Inter" w:eastAsia="Inter" w:hAnsi="Inter"/>
          <w:color w:val="3B3D4F"/>
          <w:sz w:val="21"/>
          <w:szCs w:val="21"/>
        </w:rPr>
        <w:t xml:space="preserve">Schedules are published [at least two weeks] in advance through [scheduling system, e.g., Indeavor].</w:t>
      </w:r>
    </w:p>
    <w:p>
      <w:pPr>
        <w:pStyle w:val="ListParagraph"/>
        <w:numPr>
          <w:ilvl w:val="0"/>
          <w:numId w:val="2"/>
        </w:numPr>
        <w:spacing w:after="100" w:line="276"/>
      </w:pPr>
      <w:r>
        <w:rPr>
          <w:rFonts w:ascii="Inter" w:cs="Inter" w:eastAsia="Inter" w:hAnsi="Inter"/>
          <w:color w:val="3B3D4F"/>
          <w:sz w:val="21"/>
          <w:szCs w:val="21"/>
        </w:rPr>
        <w:t xml:space="preserve">Employees are responsible for reviewing their schedule and confirming shift times, including any changes.</w:t>
      </w:r>
    </w:p>
    <w:p>
      <w:pPr>
        <w:pStyle w:val="ListParagraph"/>
        <w:numPr>
          <w:ilvl w:val="0"/>
          <w:numId w:val="2"/>
        </w:numPr>
        <w:spacing w:after="100" w:line="276"/>
      </w:pPr>
      <w:r>
        <w:rPr>
          <w:rFonts w:ascii="Inter" w:cs="Inter" w:eastAsia="Inter" w:hAnsi="Inter"/>
          <w:color w:val="3B3D4F"/>
          <w:sz w:val="21"/>
          <w:szCs w:val="21"/>
        </w:rPr>
        <w:t xml:space="preserve">Shift swaps and voluntary coverage requests must be submitted and approved through [scheduling system] before the shift takes place. An unapproved swap is treated as an unexcused absence for the employee who does not report.</w:t>
      </w:r>
    </w:p>
    <w:p>
      <w:pPr>
        <w:pStyle w:val="ListParagraph"/>
        <w:numPr>
          <w:ilvl w:val="0"/>
          <w:numId w:val="2"/>
        </w:numPr>
        <w:spacing w:after="100" w:line="276"/>
      </w:pPr>
      <w:r>
        <w:rPr>
          <w:rFonts w:ascii="Inter" w:cs="Inter" w:eastAsia="Inter" w:hAnsi="Inter"/>
          <w:color w:val="3B3D4F"/>
          <w:sz w:val="21"/>
          <w:szCs w:val="21"/>
        </w:rPr>
        <w:t xml:space="preserve">Employees should arrive with enough time to be at their workstation, in required gear, at the scheduled start time.</w:t>
      </w:r>
    </w:p>
    <w:p>
      <w:pPr>
        <w:pStyle w:val="Heading1"/>
        <w:pBdr>
          <w:bottom w:val="single" w:color="0C58E5" w:sz="12" w:space="4"/>
        </w:pBdr>
        <w:spacing w:after="160" w:before="360"/>
      </w:pPr>
      <w:r>
        <w:rPr>
          <w:rFonts w:ascii="Inter" w:cs="Inter" w:eastAsia="Inter" w:hAnsi="Inter"/>
          <w:b/>
          <w:bCs/>
          <w:color w:val="0C58E5"/>
          <w:sz w:val="26"/>
          <w:szCs w:val="26"/>
        </w:rPr>
        <w:t xml:space="preserve">5. Reporting an Absence or Tardiness</w:t>
      </w:r>
    </w:p>
    <w:p>
      <w:pPr>
        <w:spacing w:after="160" w:line="288"/>
      </w:pPr>
      <w:r>
        <w:rPr>
          <w:rFonts w:ascii="Inter" w:cs="Inter" w:eastAsia="Inter" w:hAnsi="Inter"/>
          <w:color w:val="3B3D4F"/>
          <w:sz w:val="21"/>
          <w:szCs w:val="21"/>
        </w:rPr>
        <w:t xml:space="preserve">Employees who will be late or unable to work a scheduled shift must notify their supervisor as far in advance as possible, and no later than the timeframes below.</w:t>
      </w:r>
    </w:p>
    <w:p>
      <w:pPr>
        <w:pStyle w:val="ListParagraph"/>
        <w:numPr>
          <w:ilvl w:val="0"/>
          <w:numId w:val="2"/>
        </w:numPr>
        <w:spacing w:after="100" w:line="276"/>
      </w:pPr>
      <w:r>
        <w:rPr>
          <w:rFonts w:ascii="Inter" w:cs="Inter" w:eastAsia="Inter" w:hAnsi="Inter"/>
          <w:color w:val="3B3D4F"/>
          <w:sz w:val="21"/>
          <w:szCs w:val="21"/>
        </w:rPr>
        <w:t xml:space="preserve">Notify your supervisor or the designated call-in line at least [two hours] before the scheduled shift start.</w:t>
      </w:r>
    </w:p>
    <w:p>
      <w:pPr>
        <w:pStyle w:val="ListParagraph"/>
        <w:numPr>
          <w:ilvl w:val="0"/>
          <w:numId w:val="2"/>
        </w:numPr>
        <w:spacing w:after="100" w:line="276"/>
      </w:pPr>
      <w:r>
        <w:rPr>
          <w:rFonts w:ascii="Inter" w:cs="Inter" w:eastAsia="Inter" w:hAnsi="Inter"/>
          <w:color w:val="3B3D4F"/>
          <w:sz w:val="21"/>
          <w:szCs w:val="21"/>
        </w:rPr>
        <w:t xml:space="preserve">Provide your name, department, shift, and expected return date or time.</w:t>
      </w:r>
    </w:p>
    <w:p>
      <w:pPr>
        <w:pStyle w:val="ListParagraph"/>
        <w:numPr>
          <w:ilvl w:val="0"/>
          <w:numId w:val="2"/>
        </w:numPr>
        <w:spacing w:after="100" w:line="276"/>
      </w:pPr>
      <w:r>
        <w:rPr>
          <w:rFonts w:ascii="Inter" w:cs="Inter" w:eastAsia="Inter" w:hAnsi="Inter"/>
          <w:color w:val="3B3D4F"/>
          <w:sz w:val="21"/>
          <w:szCs w:val="21"/>
        </w:rPr>
        <w:t xml:space="preserve">Texting a coworker or posting in a group chat does not meet the notice requirement. Notice must go to a supervisor or the official call-in line.</w:t>
      </w:r>
    </w:p>
    <w:p>
      <w:pPr>
        <w:pStyle w:val="ListParagraph"/>
        <w:numPr>
          <w:ilvl w:val="0"/>
          <w:numId w:val="2"/>
        </w:numPr>
        <w:spacing w:after="100" w:line="276"/>
      </w:pPr>
      <w:r>
        <w:rPr>
          <w:rFonts w:ascii="Inter" w:cs="Inter" w:eastAsia="Inter" w:hAnsi="Inter"/>
          <w:color w:val="3B3D4F"/>
          <w:sz w:val="21"/>
          <w:szCs w:val="21"/>
        </w:rPr>
        <w:t xml:space="preserve">If the absence continues beyond the first day, check in with your supervisor each day of the absence unless a return date has already been confirmed.</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c>
          <w:tcPr>
            <w:tcW w:type="dxa" w:w="9360"/>
            <w:tcBorders>
              <w:top w:val="single" w:color="B6CEFB" w:sz="4"/>
              <w:left w:val="single" w:color="0C58E5" w:sz="24"/>
              <w:bottom w:val="single" w:color="B6CEFB" w:sz="4"/>
              <w:right w:val="single" w:color="B6CEFB" w:sz="4"/>
            </w:tcBorders>
            <w:shd w:fill="EEF3FD" w:val="clear"/>
            <w:tcMar>
              <w:top w:type="dxa" w:w="160"/>
              <w:left w:type="dxa" w:w="200"/>
              <w:bottom w:type="dxa" w:w="160"/>
              <w:right w:type="dxa" w:w="200"/>
            </w:tcMar>
          </w:tcPr>
          <w:p>
            <w:r>
              <w:rPr>
                <w:rFonts w:ascii="Inter" w:cs="Inter" w:eastAsia="Inter" w:hAnsi="Inter"/>
                <w:b/>
                <w:bCs/>
                <w:color w:val="0C58E5"/>
                <w:sz w:val="20"/>
                <w:szCs w:val="20"/>
              </w:rPr>
              <w:t xml:space="preserve">Customization note: </w:t>
            </w:r>
            <w:r>
              <w:rPr>
                <w:rFonts w:ascii="Inter" w:cs="Inter" w:eastAsia="Inter" w:hAnsi="Inter"/>
                <w:color w:val="3B3D4F"/>
                <w:sz w:val="20"/>
                <w:szCs w:val="20"/>
              </w:rPr>
              <w:t xml:space="preserve">Adjust the notice window to match shift length and operational risk. Roles tied to safety-critical coverage, such as control room or patient care positions, often use a longer window, for example four hours.</w:t>
            </w:r>
          </w:p>
        </w:tc>
      </w:tr>
    </w:tbl>
    <w:p>
      <w:pPr>
        <w:pStyle w:val="Heading1"/>
        <w:pBdr>
          <w:bottom w:val="single" w:color="0C58E5" w:sz="12" w:space="4"/>
        </w:pBdr>
        <w:spacing w:after="160" w:before="360"/>
      </w:pPr>
      <w:r>
        <w:rPr>
          <w:rFonts w:ascii="Inter" w:cs="Inter" w:eastAsia="Inter" w:hAnsi="Inter"/>
          <w:b/>
          <w:bCs/>
          <w:color w:val="0C58E5"/>
          <w:sz w:val="26"/>
          <w:szCs w:val="26"/>
        </w:rPr>
        <w:t xml:space="preserve">6. Excused Absences and Protected Leave</w:t>
      </w:r>
    </w:p>
    <w:p>
      <w:pPr>
        <w:spacing w:after="160" w:line="288"/>
      </w:pPr>
      <w:r>
        <w:rPr>
          <w:rFonts w:ascii="Inter" w:cs="Inter" w:eastAsia="Inter" w:hAnsi="Inter"/>
          <w:color w:val="3B3D4F"/>
          <w:sz w:val="21"/>
          <w:szCs w:val="21"/>
        </w:rPr>
        <w:t xml:space="preserve">The following absences are excused and will not count against an employee's attendance record, provided proper notice and documentation are given:</w:t>
      </w:r>
    </w:p>
    <w:p>
      <w:pPr>
        <w:pStyle w:val="ListParagraph"/>
        <w:numPr>
          <w:ilvl w:val="0"/>
          <w:numId w:val="2"/>
        </w:numPr>
        <w:spacing w:after="100" w:line="276"/>
      </w:pPr>
      <w:r>
        <w:rPr>
          <w:rFonts w:ascii="Inter" w:cs="Inter" w:eastAsia="Inter" w:hAnsi="Inter"/>
          <w:color w:val="3B3D4F"/>
          <w:sz w:val="21"/>
          <w:szCs w:val="21"/>
        </w:rPr>
        <w:t xml:space="preserve">Leave protected under the Family and Medical Leave Act (FMLA) or a state equivalent.</w:t>
      </w:r>
    </w:p>
    <w:p>
      <w:pPr>
        <w:pStyle w:val="ListParagraph"/>
        <w:numPr>
          <w:ilvl w:val="0"/>
          <w:numId w:val="2"/>
        </w:numPr>
        <w:spacing w:after="100" w:line="276"/>
      </w:pPr>
      <w:r>
        <w:rPr>
          <w:rFonts w:ascii="Inter" w:cs="Inter" w:eastAsia="Inter" w:hAnsi="Inter"/>
          <w:color w:val="3B3D4F"/>
          <w:sz w:val="21"/>
          <w:szCs w:val="21"/>
        </w:rPr>
        <w:t xml:space="preserve">Reasonable accommodation under the Americans with Disabilities Act (ADA).</w:t>
      </w:r>
    </w:p>
    <w:p>
      <w:pPr>
        <w:pStyle w:val="ListParagraph"/>
        <w:numPr>
          <w:ilvl w:val="0"/>
          <w:numId w:val="2"/>
        </w:numPr>
        <w:spacing w:after="100" w:line="276"/>
      </w:pPr>
      <w:r>
        <w:rPr>
          <w:rFonts w:ascii="Inter" w:cs="Inter" w:eastAsia="Inter" w:hAnsi="Inter"/>
          <w:color w:val="3B3D4F"/>
          <w:sz w:val="21"/>
          <w:szCs w:val="21"/>
        </w:rPr>
        <w:t xml:space="preserve">Approved paid time off, vacation, or sick leave requested and approved in advance.</w:t>
      </w:r>
    </w:p>
    <w:p>
      <w:pPr>
        <w:pStyle w:val="ListParagraph"/>
        <w:numPr>
          <w:ilvl w:val="0"/>
          <w:numId w:val="2"/>
        </w:numPr>
        <w:spacing w:after="100" w:line="276"/>
      </w:pPr>
      <w:r>
        <w:rPr>
          <w:rFonts w:ascii="Inter" w:cs="Inter" w:eastAsia="Inter" w:hAnsi="Inter"/>
          <w:color w:val="3B3D4F"/>
          <w:sz w:val="21"/>
          <w:szCs w:val="21"/>
        </w:rPr>
        <w:t xml:space="preserve">Jury duty or court-ordered appearances, with documentation provided.</w:t>
      </w:r>
    </w:p>
    <w:p>
      <w:pPr>
        <w:pStyle w:val="ListParagraph"/>
        <w:numPr>
          <w:ilvl w:val="0"/>
          <w:numId w:val="2"/>
        </w:numPr>
        <w:spacing w:after="100" w:line="276"/>
      </w:pPr>
      <w:r>
        <w:rPr>
          <w:rFonts w:ascii="Inter" w:cs="Inter" w:eastAsia="Inter" w:hAnsi="Inter"/>
          <w:color w:val="3B3D4F"/>
          <w:sz w:val="21"/>
          <w:szCs w:val="21"/>
        </w:rPr>
        <w:t xml:space="preserve">Bereavement leave, in accordance with [Company Name]'s bereavement policy.</w:t>
      </w:r>
    </w:p>
    <w:p>
      <w:pPr>
        <w:pStyle w:val="ListParagraph"/>
        <w:numPr>
          <w:ilvl w:val="0"/>
          <w:numId w:val="2"/>
        </w:numPr>
        <w:spacing w:after="100" w:line="276"/>
      </w:pPr>
      <w:r>
        <w:rPr>
          <w:rFonts w:ascii="Inter" w:cs="Inter" w:eastAsia="Inter" w:hAnsi="Inter"/>
          <w:color w:val="3B3D4F"/>
          <w:sz w:val="21"/>
          <w:szCs w:val="21"/>
        </w:rPr>
        <w:t xml:space="preserve">Military leave under the Uniformed Services Employment and Reemployment Rights Act (USERRA).</w:t>
      </w:r>
    </w:p>
    <w:p>
      <w:pPr>
        <w:pStyle w:val="ListParagraph"/>
        <w:numPr>
          <w:ilvl w:val="0"/>
          <w:numId w:val="2"/>
        </w:numPr>
        <w:spacing w:after="100" w:line="276"/>
      </w:pPr>
      <w:r>
        <w:rPr>
          <w:rFonts w:ascii="Inter" w:cs="Inter" w:eastAsia="Inter" w:hAnsi="Inter"/>
          <w:color w:val="3B3D4F"/>
          <w:sz w:val="21"/>
          <w:szCs w:val="21"/>
        </w:rPr>
        <w:t xml:space="preserve">Workplace injury covered under workers' compensation.</w:t>
      </w:r>
    </w:p>
    <w:p>
      <w:pPr>
        <w:spacing w:after="160" w:line="288"/>
      </w:pPr>
      <w:r>
        <w:rPr>
          <w:rFonts w:ascii="Inter" w:cs="Inter" w:eastAsia="Inter" w:hAnsi="Inter"/>
          <w:color w:val="3B3D4F"/>
          <w:sz w:val="21"/>
          <w:szCs w:val="21"/>
        </w:rPr>
        <w:t xml:space="preserve">Employees should provide supporting documentation, such as a doctor's note or court notice, within [three business days] of returning to work when requested.</w:t>
      </w:r>
    </w:p>
    <w:p>
      <w:pPr>
        <w:pStyle w:val="Heading1"/>
        <w:pBdr>
          <w:bottom w:val="single" w:color="0C58E5" w:sz="12" w:space="4"/>
        </w:pBdr>
        <w:spacing w:after="160" w:before="360"/>
      </w:pPr>
      <w:r>
        <w:rPr>
          <w:rFonts w:ascii="Inter" w:cs="Inter" w:eastAsia="Inter" w:hAnsi="Inter"/>
          <w:b/>
          <w:bCs/>
          <w:color w:val="0C58E5"/>
          <w:sz w:val="26"/>
          <w:szCs w:val="26"/>
        </w:rPr>
        <w:t xml:space="preserve">7. Attendance Tracking</w:t>
      </w:r>
    </w:p>
    <w:p>
      <w:pPr>
        <w:spacing w:after="160" w:line="288"/>
      </w:pPr>
      <w:r>
        <w:rPr>
          <w:rFonts w:ascii="Inter" w:cs="Inter" w:eastAsia="Inter" w:hAnsi="Inter"/>
          <w:color w:val="3B3D4F"/>
          <w:sz w:val="21"/>
          <w:szCs w:val="21"/>
        </w:rPr>
        <w:t xml:space="preserve">[Company Name] tracks attendance using [time clock / badge system / scheduling software] to maintain accurate, consistent records across all shifts and locations. Supervisors and employees can view attendance history through [system name].</w:t>
      </w:r>
    </w:p>
    <w:p>
      <w:pPr>
        <w:spacing w:after="160" w:line="288"/>
      </w:pPr>
      <w:r>
        <w:rPr>
          <w:rFonts w:ascii="Inter" w:cs="Inter" w:eastAsia="Inter" w:hAnsi="Inter"/>
          <w:color w:val="3B3D4F"/>
          <w:sz w:val="21"/>
          <w:szCs w:val="21"/>
        </w:rPr>
        <w:t xml:space="preserve">Many organizations use a points-based system to apply attendance expectations consistently. An example structure appears below; adjust point values, the lookback window, and thresholds to fit your operation and applicable state law.</w:t>
      </w:r>
    </w:p>
    <w:p>
      <w:pPr>
        <w:spacing w:after="80"/>
      </w:pPr>
    </w:p>
    <w:tbl>
      <w:tblPr>
        <w:tblW w:type="dxa" w:w="9360"/>
        <w:tblBorders>
          <w:top w:val="single" w:color="D9DEEB" w:sz="4"/>
          <w:left w:val="single" w:color="D9DEEB" w:sz="4"/>
          <w:bottom w:val="single" w:color="D9DEEB" w:sz="4"/>
          <w:right w:val="single" w:color="D9DEEB" w:sz="4"/>
          <w:insideH w:val="single" w:color="D9DEEB" w:sz="4"/>
          <w:insideV w:val="single" w:color="D9DEEB" w:sz="4"/>
        </w:tblBorders>
        <w:tblLayout w:type="fixed"/>
      </w:tblPr>
      <w:tblGrid>
        <w:gridCol w:w="6600"/>
        <w:gridCol w:w="2760"/>
      </w:tblGrid>
      <w:tr>
        <w:trPr>
          <w:tblHeader/>
        </w:trPr>
        <w:tc>
          <w:tcPr>
            <w:tcW w:type="dxa" w:w="6600"/>
            <w:shd w:fill="0C58E5" w:val="clear"/>
            <w:tcMar>
              <w:top w:type="dxa" w:w="100"/>
              <w:left w:type="dxa" w:w="120"/>
              <w:bottom w:type="dxa" w:w="100"/>
              <w:right w:type="dxa" w:w="120"/>
            </w:tcMar>
            <w:vAlign w:val="center"/>
          </w:tcPr>
          <w:p>
            <w:r>
              <w:rPr>
                <w:rFonts w:ascii="Inter" w:cs="Inter" w:eastAsia="Inter" w:hAnsi="Inter"/>
                <w:b/>
                <w:bCs/>
                <w:color w:val="FFFFFF"/>
                <w:sz w:val="19"/>
                <w:szCs w:val="19"/>
              </w:rPr>
              <w:t xml:space="preserve">Occurrence</w:t>
            </w:r>
          </w:p>
        </w:tc>
        <w:tc>
          <w:tcPr>
            <w:tcW w:type="dxa" w:w="2760"/>
            <w:shd w:fill="0C58E5" w:val="clear"/>
            <w:tcMar>
              <w:top w:type="dxa" w:w="100"/>
              <w:left w:type="dxa" w:w="120"/>
              <w:bottom w:type="dxa" w:w="100"/>
              <w:right w:type="dxa" w:w="120"/>
            </w:tcMar>
            <w:vAlign w:val="center"/>
          </w:tcPr>
          <w:p>
            <w:r>
              <w:rPr>
                <w:rFonts w:ascii="Inter" w:cs="Inter" w:eastAsia="Inter" w:hAnsi="Inter"/>
                <w:b/>
                <w:bCs/>
                <w:color w:val="FFFFFF"/>
                <w:sz w:val="19"/>
                <w:szCs w:val="19"/>
              </w:rPr>
              <w:t xml:space="preserve">Points</w:t>
            </w:r>
          </w:p>
        </w:tc>
      </w:tr>
      <w:tr>
        <w:tc>
          <w:tcPr>
            <w:tcW w:type="dxa" w:w="6600"/>
            <w:shd w:fill="FFFFFF" w:val="clear"/>
            <w:tcMar>
              <w:top w:type="dxa" w:w="90"/>
              <w:left w:type="dxa" w:w="120"/>
              <w:bottom w:type="dxa" w:w="90"/>
              <w:right w:type="dxa" w:w="120"/>
            </w:tcMar>
            <w:vAlign w:val="center"/>
          </w:tcPr>
          <w:p>
            <w:r>
              <w:rPr>
                <w:rFonts w:ascii="Inter" w:cs="Inter" w:eastAsia="Inter" w:hAnsi="Inter"/>
                <w:color w:val="3B3D4F"/>
                <w:sz w:val="19"/>
                <w:szCs w:val="19"/>
              </w:rPr>
              <w:t xml:space="preserve">Tardiness, up to 10 minutes</w:t>
            </w:r>
          </w:p>
        </w:tc>
        <w:tc>
          <w:tcPr>
            <w:tcW w:type="dxa" w:w="2760"/>
            <w:shd w:fill="FFFFFF" w:val="clear"/>
            <w:tcMar>
              <w:top w:type="dxa" w:w="90"/>
              <w:left w:type="dxa" w:w="120"/>
              <w:bottom w:type="dxa" w:w="90"/>
              <w:right w:type="dxa" w:w="120"/>
            </w:tcMar>
            <w:vAlign w:val="center"/>
          </w:tcPr>
          <w:p>
            <w:r>
              <w:rPr>
                <w:rFonts w:ascii="Inter" w:cs="Inter" w:eastAsia="Inter" w:hAnsi="Inter"/>
                <w:color w:val="3B3D4F"/>
                <w:sz w:val="19"/>
                <w:szCs w:val="19"/>
              </w:rPr>
              <w:t xml:space="preserve">0.5</w:t>
            </w:r>
          </w:p>
        </w:tc>
      </w:tr>
      <w:tr>
        <w:tc>
          <w:tcPr>
            <w:tcW w:type="dxa" w:w="6600"/>
            <w:shd w:fill="F4F6FB" w:val="clear"/>
            <w:tcMar>
              <w:top w:type="dxa" w:w="90"/>
              <w:left w:type="dxa" w:w="120"/>
              <w:bottom w:type="dxa" w:w="90"/>
              <w:right w:type="dxa" w:w="120"/>
            </w:tcMar>
            <w:vAlign w:val="center"/>
          </w:tcPr>
          <w:p>
            <w:r>
              <w:rPr>
                <w:rFonts w:ascii="Inter" w:cs="Inter" w:eastAsia="Inter" w:hAnsi="Inter"/>
                <w:color w:val="3B3D4F"/>
                <w:sz w:val="19"/>
                <w:szCs w:val="19"/>
              </w:rPr>
              <w:t xml:space="preserve">Tardiness, more than 10 minutes, or early departure</w:t>
            </w:r>
          </w:p>
        </w:tc>
        <w:tc>
          <w:tcPr>
            <w:tcW w:type="dxa" w:w="2760"/>
            <w:shd w:fill="F4F6FB" w:val="clear"/>
            <w:tcMar>
              <w:top w:type="dxa" w:w="90"/>
              <w:left w:type="dxa" w:w="120"/>
              <w:bottom w:type="dxa" w:w="90"/>
              <w:right w:type="dxa" w:w="120"/>
            </w:tcMar>
            <w:vAlign w:val="center"/>
          </w:tcPr>
          <w:p>
            <w:r>
              <w:rPr>
                <w:rFonts w:ascii="Inter" w:cs="Inter" w:eastAsia="Inter" w:hAnsi="Inter"/>
                <w:color w:val="3B3D4F"/>
                <w:sz w:val="19"/>
                <w:szCs w:val="19"/>
              </w:rPr>
              <w:t xml:space="preserve">1</w:t>
            </w:r>
          </w:p>
        </w:tc>
      </w:tr>
      <w:tr>
        <w:tc>
          <w:tcPr>
            <w:tcW w:type="dxa" w:w="6600"/>
            <w:shd w:fill="FFFFFF" w:val="clear"/>
            <w:tcMar>
              <w:top w:type="dxa" w:w="90"/>
              <w:left w:type="dxa" w:w="120"/>
              <w:bottom w:type="dxa" w:w="90"/>
              <w:right w:type="dxa" w:w="120"/>
            </w:tcMar>
            <w:vAlign w:val="center"/>
          </w:tcPr>
          <w:p>
            <w:r>
              <w:rPr>
                <w:rFonts w:ascii="Inter" w:cs="Inter" w:eastAsia="Inter" w:hAnsi="Inter"/>
                <w:color w:val="3B3D4F"/>
                <w:sz w:val="19"/>
                <w:szCs w:val="19"/>
              </w:rPr>
              <w:t xml:space="preserve">Unexcused absence, full shift</w:t>
            </w:r>
          </w:p>
        </w:tc>
        <w:tc>
          <w:tcPr>
            <w:tcW w:type="dxa" w:w="2760"/>
            <w:shd w:fill="FFFFFF" w:val="clear"/>
            <w:tcMar>
              <w:top w:type="dxa" w:w="90"/>
              <w:left w:type="dxa" w:w="120"/>
              <w:bottom w:type="dxa" w:w="90"/>
              <w:right w:type="dxa" w:w="120"/>
            </w:tcMar>
            <w:vAlign w:val="center"/>
          </w:tcPr>
          <w:p>
            <w:r>
              <w:rPr>
                <w:rFonts w:ascii="Inter" w:cs="Inter" w:eastAsia="Inter" w:hAnsi="Inter"/>
                <w:color w:val="3B3D4F"/>
                <w:sz w:val="19"/>
                <w:szCs w:val="19"/>
              </w:rPr>
              <w:t xml:space="preserve">2</w:t>
            </w:r>
          </w:p>
        </w:tc>
      </w:tr>
      <w:tr>
        <w:tc>
          <w:tcPr>
            <w:tcW w:type="dxa" w:w="6600"/>
            <w:shd w:fill="F4F6FB" w:val="clear"/>
            <w:tcMar>
              <w:top w:type="dxa" w:w="90"/>
              <w:left w:type="dxa" w:w="120"/>
              <w:bottom w:type="dxa" w:w="90"/>
              <w:right w:type="dxa" w:w="120"/>
            </w:tcMar>
            <w:vAlign w:val="center"/>
          </w:tcPr>
          <w:p>
            <w:r>
              <w:rPr>
                <w:rFonts w:ascii="Inter" w:cs="Inter" w:eastAsia="Inter" w:hAnsi="Inter"/>
                <w:color w:val="3B3D4F"/>
                <w:sz w:val="19"/>
                <w:szCs w:val="19"/>
              </w:rPr>
              <w:t xml:space="preserve">No call, no show</w:t>
            </w:r>
          </w:p>
        </w:tc>
        <w:tc>
          <w:tcPr>
            <w:tcW w:type="dxa" w:w="2760"/>
            <w:shd w:fill="F4F6FB" w:val="clear"/>
            <w:tcMar>
              <w:top w:type="dxa" w:w="90"/>
              <w:left w:type="dxa" w:w="120"/>
              <w:bottom w:type="dxa" w:w="90"/>
              <w:right w:type="dxa" w:w="120"/>
            </w:tcMar>
            <w:vAlign w:val="center"/>
          </w:tcPr>
          <w:p>
            <w:r>
              <w:rPr>
                <w:rFonts w:ascii="Inter" w:cs="Inter" w:eastAsia="Inter" w:hAnsi="Inter"/>
                <w:color w:val="3B3D4F"/>
                <w:sz w:val="19"/>
                <w:szCs w:val="19"/>
              </w:rPr>
              <w:t xml:space="preserve">3</w:t>
            </w:r>
          </w:p>
        </w:tc>
      </w:tr>
      <w:tr>
        <w:tc>
          <w:tcPr>
            <w:tcW w:type="dxa" w:w="6600"/>
            <w:shd w:fill="FFFFFF" w:val="clear"/>
            <w:tcMar>
              <w:top w:type="dxa" w:w="90"/>
              <w:left w:type="dxa" w:w="120"/>
              <w:bottom w:type="dxa" w:w="90"/>
              <w:right w:type="dxa" w:w="120"/>
            </w:tcMar>
            <w:vAlign w:val="center"/>
          </w:tcPr>
          <w:p>
            <w:r>
              <w:rPr>
                <w:rFonts w:ascii="Inter" w:cs="Inter" w:eastAsia="Inter" w:hAnsi="Inter"/>
                <w:color w:val="3B3D4F"/>
                <w:sz w:val="19"/>
                <w:szCs w:val="19"/>
              </w:rPr>
              <w:t xml:space="preserve">Job abandonment (per Section 3)</w:t>
            </w:r>
          </w:p>
        </w:tc>
        <w:tc>
          <w:tcPr>
            <w:tcW w:type="dxa" w:w="2760"/>
            <w:shd w:fill="FFFFFF" w:val="clear"/>
            <w:tcMar>
              <w:top w:type="dxa" w:w="90"/>
              <w:left w:type="dxa" w:w="120"/>
              <w:bottom w:type="dxa" w:w="90"/>
              <w:right w:type="dxa" w:w="120"/>
            </w:tcMar>
            <w:vAlign w:val="center"/>
          </w:tcPr>
          <w:p>
            <w:r>
              <w:rPr>
                <w:rFonts w:ascii="Inter" w:cs="Inter" w:eastAsia="Inter" w:hAnsi="Inter"/>
                <w:color w:val="3B3D4F"/>
                <w:sz w:val="19"/>
                <w:szCs w:val="19"/>
              </w:rPr>
              <w:t xml:space="preserve">Immediate termination review</w:t>
            </w:r>
          </w:p>
        </w:tc>
      </w:tr>
    </w:tbl>
    <w:p>
      <w:pPr>
        <w:spacing w:after="160"/>
      </w:pPr>
    </w:p>
    <w:p>
      <w:pPr>
        <w:spacing w:after="160" w:line="288"/>
      </w:pPr>
      <w:r>
        <w:rPr>
          <w:rFonts w:ascii="Inter" w:cs="Inter" w:eastAsia="Inter" w:hAnsi="Inter"/>
          <w:color w:val="3B3D4F"/>
          <w:sz w:val="21"/>
          <w:szCs w:val="21"/>
        </w:rPr>
        <w:t xml:space="preserve">Points roll off an employee's record after [rolling 12-month period]. Points accrued for the same protected leave category are not counted toward this total.</w:t>
      </w:r>
    </w:p>
    <w:p>
      <w:pPr>
        <w:pStyle w:val="Heading1"/>
        <w:pBdr>
          <w:bottom w:val="single" w:color="0C58E5" w:sz="12" w:space="4"/>
        </w:pBdr>
        <w:spacing w:after="160" w:before="360"/>
      </w:pPr>
      <w:r>
        <w:rPr>
          <w:rFonts w:ascii="Inter" w:cs="Inter" w:eastAsia="Inter" w:hAnsi="Inter"/>
          <w:b/>
          <w:bCs/>
          <w:color w:val="0C58E5"/>
          <w:sz w:val="26"/>
          <w:szCs w:val="26"/>
        </w:rPr>
        <w:t xml:space="preserve">8. Progressive Discipline</w:t>
      </w:r>
    </w:p>
    <w:p>
      <w:pPr>
        <w:spacing w:after="160" w:line="288"/>
      </w:pPr>
      <w:r>
        <w:rPr>
          <w:rFonts w:ascii="Inter" w:cs="Inter" w:eastAsia="Inter" w:hAnsi="Inter"/>
          <w:color w:val="3B3D4F"/>
          <w:sz w:val="21"/>
          <w:szCs w:val="21"/>
        </w:rPr>
        <w:t xml:space="preserve">Attendance issues are generally addressed through a progressive approach, allowing employees the opportunity to correct the behavior before more serious action is taken. Severity and pace of discipline may vary based on the nature of the occurrence, for example a pattern of no call, no shows may move more quickly through these steps than a single late arrival.</w:t>
      </w:r>
    </w:p>
    <w:p>
      <w:pPr>
        <w:spacing w:after="80"/>
      </w:pPr>
    </w:p>
    <w:tbl>
      <w:tblPr>
        <w:tblW w:type="dxa" w:w="9360"/>
        <w:tblBorders>
          <w:top w:val="single" w:color="D9DEEB" w:sz="4"/>
          <w:left w:val="single" w:color="D9DEEB" w:sz="4"/>
          <w:bottom w:val="single" w:color="D9DEEB" w:sz="4"/>
          <w:right w:val="single" w:color="D9DEEB" w:sz="4"/>
          <w:insideH w:val="single" w:color="D9DEEB" w:sz="4"/>
          <w:insideV w:val="single" w:color="D9DEEB" w:sz="4"/>
        </w:tblBorders>
        <w:tblLayout w:type="fixed"/>
      </w:tblPr>
      <w:tblGrid>
        <w:gridCol w:w="3600"/>
        <w:gridCol w:w="5760"/>
      </w:tblGrid>
      <w:tr>
        <w:trPr>
          <w:tblHeader/>
        </w:trPr>
        <w:tc>
          <w:tcPr>
            <w:tcW w:type="dxa" w:w="3600"/>
            <w:shd w:fill="0C58E5" w:val="clear"/>
            <w:tcMar>
              <w:top w:type="dxa" w:w="100"/>
              <w:left w:type="dxa" w:w="120"/>
              <w:bottom w:type="dxa" w:w="100"/>
              <w:right w:type="dxa" w:w="120"/>
            </w:tcMar>
            <w:vAlign w:val="center"/>
          </w:tcPr>
          <w:p>
            <w:r>
              <w:rPr>
                <w:rFonts w:ascii="Inter" w:cs="Inter" w:eastAsia="Inter" w:hAnsi="Inter"/>
                <w:b/>
                <w:bCs/>
                <w:color w:val="FFFFFF"/>
                <w:sz w:val="19"/>
                <w:szCs w:val="19"/>
              </w:rPr>
              <w:t xml:space="preserve">Points accrued</w:t>
            </w:r>
          </w:p>
        </w:tc>
        <w:tc>
          <w:tcPr>
            <w:tcW w:type="dxa" w:w="5760"/>
            <w:shd w:fill="0C58E5" w:val="clear"/>
            <w:tcMar>
              <w:top w:type="dxa" w:w="100"/>
              <w:left w:type="dxa" w:w="120"/>
              <w:bottom w:type="dxa" w:w="100"/>
              <w:right w:type="dxa" w:w="120"/>
            </w:tcMar>
            <w:vAlign w:val="center"/>
          </w:tcPr>
          <w:p>
            <w:r>
              <w:rPr>
                <w:rFonts w:ascii="Inter" w:cs="Inter" w:eastAsia="Inter" w:hAnsi="Inter"/>
                <w:b/>
                <w:bCs/>
                <w:color w:val="FFFFFF"/>
                <w:sz w:val="19"/>
                <w:szCs w:val="19"/>
              </w:rPr>
              <w:t xml:space="preserve">Action</w:t>
            </w:r>
          </w:p>
        </w:tc>
      </w:tr>
      <w:tr>
        <w:tc>
          <w:tcPr>
            <w:tcW w:type="dxa" w:w="3600"/>
            <w:shd w:fill="FFFFFF" w:val="clear"/>
            <w:tcMar>
              <w:top w:type="dxa" w:w="90"/>
              <w:left w:type="dxa" w:w="120"/>
              <w:bottom w:type="dxa" w:w="90"/>
              <w:right w:type="dxa" w:w="120"/>
            </w:tcMar>
            <w:vAlign w:val="center"/>
          </w:tcPr>
          <w:p>
            <w:r>
              <w:rPr>
                <w:rFonts w:ascii="Inter" w:cs="Inter" w:eastAsia="Inter" w:hAnsi="Inter"/>
                <w:color w:val="3B3D4F"/>
                <w:sz w:val="19"/>
                <w:szCs w:val="19"/>
              </w:rPr>
              <w:t xml:space="preserve">[4]</w:t>
            </w:r>
          </w:p>
        </w:tc>
        <w:tc>
          <w:tcPr>
            <w:tcW w:type="dxa" w:w="5760"/>
            <w:shd w:fill="FFFFFF" w:val="clear"/>
            <w:tcMar>
              <w:top w:type="dxa" w:w="90"/>
              <w:left w:type="dxa" w:w="120"/>
              <w:bottom w:type="dxa" w:w="90"/>
              <w:right w:type="dxa" w:w="120"/>
            </w:tcMar>
            <w:vAlign w:val="center"/>
          </w:tcPr>
          <w:p>
            <w:r>
              <w:rPr>
                <w:rFonts w:ascii="Inter" w:cs="Inter" w:eastAsia="Inter" w:hAnsi="Inter"/>
                <w:color w:val="3B3D4F"/>
                <w:sz w:val="19"/>
                <w:szCs w:val="19"/>
              </w:rPr>
              <w:t xml:space="preserve">Verbal coaching, documented by supervisor</w:t>
            </w:r>
          </w:p>
        </w:tc>
      </w:tr>
      <w:tr>
        <w:tc>
          <w:tcPr>
            <w:tcW w:type="dxa" w:w="3600"/>
            <w:shd w:fill="F4F6FB" w:val="clear"/>
            <w:tcMar>
              <w:top w:type="dxa" w:w="90"/>
              <w:left w:type="dxa" w:w="120"/>
              <w:bottom w:type="dxa" w:w="90"/>
              <w:right w:type="dxa" w:w="120"/>
            </w:tcMar>
            <w:vAlign w:val="center"/>
          </w:tcPr>
          <w:p>
            <w:r>
              <w:rPr>
                <w:rFonts w:ascii="Inter" w:cs="Inter" w:eastAsia="Inter" w:hAnsi="Inter"/>
                <w:color w:val="3B3D4F"/>
                <w:sz w:val="19"/>
                <w:szCs w:val="19"/>
              </w:rPr>
              <w:t xml:space="preserve">[6]</w:t>
            </w:r>
          </w:p>
        </w:tc>
        <w:tc>
          <w:tcPr>
            <w:tcW w:type="dxa" w:w="5760"/>
            <w:shd w:fill="F4F6FB" w:val="clear"/>
            <w:tcMar>
              <w:top w:type="dxa" w:w="90"/>
              <w:left w:type="dxa" w:w="120"/>
              <w:bottom w:type="dxa" w:w="90"/>
              <w:right w:type="dxa" w:w="120"/>
            </w:tcMar>
            <w:vAlign w:val="center"/>
          </w:tcPr>
          <w:p>
            <w:r>
              <w:rPr>
                <w:rFonts w:ascii="Inter" w:cs="Inter" w:eastAsia="Inter" w:hAnsi="Inter"/>
                <w:color w:val="3B3D4F"/>
                <w:sz w:val="19"/>
                <w:szCs w:val="19"/>
              </w:rPr>
              <w:t xml:space="preserve">Written warning</w:t>
            </w:r>
          </w:p>
        </w:tc>
      </w:tr>
      <w:tr>
        <w:tc>
          <w:tcPr>
            <w:tcW w:type="dxa" w:w="3600"/>
            <w:shd w:fill="FFFFFF" w:val="clear"/>
            <w:tcMar>
              <w:top w:type="dxa" w:w="90"/>
              <w:left w:type="dxa" w:w="120"/>
              <w:bottom w:type="dxa" w:w="90"/>
              <w:right w:type="dxa" w:w="120"/>
            </w:tcMar>
            <w:vAlign w:val="center"/>
          </w:tcPr>
          <w:p>
            <w:r>
              <w:rPr>
                <w:rFonts w:ascii="Inter" w:cs="Inter" w:eastAsia="Inter" w:hAnsi="Inter"/>
                <w:color w:val="3B3D4F"/>
                <w:sz w:val="19"/>
                <w:szCs w:val="19"/>
              </w:rPr>
              <w:t xml:space="preserve">[8]</w:t>
            </w:r>
          </w:p>
        </w:tc>
        <w:tc>
          <w:tcPr>
            <w:tcW w:type="dxa" w:w="5760"/>
            <w:shd w:fill="FFFFFF" w:val="clear"/>
            <w:tcMar>
              <w:top w:type="dxa" w:w="90"/>
              <w:left w:type="dxa" w:w="120"/>
              <w:bottom w:type="dxa" w:w="90"/>
              <w:right w:type="dxa" w:w="120"/>
            </w:tcMar>
            <w:vAlign w:val="center"/>
          </w:tcPr>
          <w:p>
            <w:r>
              <w:rPr>
                <w:rFonts w:ascii="Inter" w:cs="Inter" w:eastAsia="Inter" w:hAnsi="Inter"/>
                <w:color w:val="3B3D4F"/>
                <w:sz w:val="19"/>
                <w:szCs w:val="19"/>
              </w:rPr>
              <w:t xml:space="preserve">Final written warning, with performance improvement plan</w:t>
            </w:r>
          </w:p>
        </w:tc>
      </w:tr>
      <w:tr>
        <w:tc>
          <w:tcPr>
            <w:tcW w:type="dxa" w:w="3600"/>
            <w:shd w:fill="F4F6FB" w:val="clear"/>
            <w:tcMar>
              <w:top w:type="dxa" w:w="90"/>
              <w:left w:type="dxa" w:w="120"/>
              <w:bottom w:type="dxa" w:w="90"/>
              <w:right w:type="dxa" w:w="120"/>
            </w:tcMar>
            <w:vAlign w:val="center"/>
          </w:tcPr>
          <w:p>
            <w:r>
              <w:rPr>
                <w:rFonts w:ascii="Inter" w:cs="Inter" w:eastAsia="Inter" w:hAnsi="Inter"/>
                <w:color w:val="3B3D4F"/>
                <w:sz w:val="19"/>
                <w:szCs w:val="19"/>
              </w:rPr>
              <w:t xml:space="preserve">[10 or more]</w:t>
            </w:r>
          </w:p>
        </w:tc>
        <w:tc>
          <w:tcPr>
            <w:tcW w:type="dxa" w:w="5760"/>
            <w:shd w:fill="F4F6FB" w:val="clear"/>
            <w:tcMar>
              <w:top w:type="dxa" w:w="90"/>
              <w:left w:type="dxa" w:w="120"/>
              <w:bottom w:type="dxa" w:w="90"/>
              <w:right w:type="dxa" w:w="120"/>
            </w:tcMar>
            <w:vAlign w:val="center"/>
          </w:tcPr>
          <w:p>
            <w:r>
              <w:rPr>
                <w:rFonts w:ascii="Inter" w:cs="Inter" w:eastAsia="Inter" w:hAnsi="Inter"/>
                <w:color w:val="3B3D4F"/>
                <w:sz w:val="19"/>
                <w:szCs w:val="19"/>
              </w:rPr>
              <w:t xml:space="preserve">Termination review</w:t>
            </w:r>
          </w:p>
        </w:tc>
      </w:tr>
    </w:tbl>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c>
          <w:tcPr>
            <w:tcW w:type="dxa" w:w="9360"/>
            <w:tcBorders>
              <w:top w:val="single" w:color="B6CEFB" w:sz="4"/>
              <w:left w:val="single" w:color="0C58E5" w:sz="24"/>
              <w:bottom w:val="single" w:color="B6CEFB" w:sz="4"/>
              <w:right w:val="single" w:color="B6CEFB" w:sz="4"/>
            </w:tcBorders>
            <w:shd w:fill="EEF3FD" w:val="clear"/>
            <w:tcMar>
              <w:top w:type="dxa" w:w="160"/>
              <w:left w:type="dxa" w:w="200"/>
              <w:bottom w:type="dxa" w:w="160"/>
              <w:right w:type="dxa" w:w="200"/>
            </w:tcMar>
          </w:tcPr>
          <w:p>
            <w:r>
              <w:rPr>
                <w:rFonts w:ascii="Inter" w:cs="Inter" w:eastAsia="Inter" w:hAnsi="Inter"/>
                <w:b/>
                <w:bCs/>
                <w:color w:val="0C58E5"/>
                <w:sz w:val="20"/>
                <w:szCs w:val="20"/>
              </w:rPr>
              <w:t xml:space="preserve">Customization note: </w:t>
            </w:r>
            <w:r>
              <w:rPr>
                <w:rFonts w:ascii="Inter" w:cs="Inter" w:eastAsia="Inter" w:hAnsi="Inter"/>
                <w:color w:val="3B3D4F"/>
                <w:sz w:val="20"/>
                <w:szCs w:val="20"/>
              </w:rPr>
              <w:t xml:space="preserve">Set thresholds that reflect your operation's staffing risk and consult legal counsel to ensure the schedule does not conflict with union contracts, state law, or existing disciplinary procedures.</w:t>
            </w:r>
          </w:p>
        </w:tc>
      </w:tr>
    </w:tbl>
    <w:p>
      <w:pPr>
        <w:pStyle w:val="Heading1"/>
        <w:pBdr>
          <w:bottom w:val="single" w:color="0C58E5" w:sz="12" w:space="4"/>
        </w:pBdr>
        <w:spacing w:after="160" w:before="360"/>
      </w:pPr>
      <w:r>
        <w:rPr>
          <w:rFonts w:ascii="Inter" w:cs="Inter" w:eastAsia="Inter" w:hAnsi="Inter"/>
          <w:b/>
          <w:bCs/>
          <w:color w:val="0C58E5"/>
          <w:sz w:val="26"/>
          <w:szCs w:val="26"/>
        </w:rPr>
        <w:t xml:space="preserve">9. No Call, No Show</w:t>
      </w:r>
    </w:p>
    <w:p>
      <w:pPr>
        <w:spacing w:after="160" w:line="288"/>
      </w:pPr>
      <w:r>
        <w:rPr>
          <w:rFonts w:ascii="Inter" w:cs="Inter" w:eastAsia="Inter" w:hAnsi="Inter"/>
          <w:color w:val="3B3D4F"/>
          <w:sz w:val="21"/>
          <w:szCs w:val="21"/>
        </w:rPr>
        <w:t xml:space="preserve">A no call, no show is treated as a serious violation of this policy because it leaves a shift uncovered with no opportunity to plan for it. A single occurrence may result in a written warning. [Two] consecutive occurrences will be treated as job abandonment and voluntary resignation, unless the employee can demonstrate an emergency prevented notice, such as a documented medical event or accident.</w:t>
      </w:r>
    </w:p>
    <w:p>
      <w:pPr>
        <w:pStyle w:val="Heading1"/>
        <w:pBdr>
          <w:bottom w:val="single" w:color="0C58E5" w:sz="12" w:space="4"/>
        </w:pBdr>
        <w:spacing w:after="160" w:before="360"/>
      </w:pPr>
      <w:r>
        <w:rPr>
          <w:rFonts w:ascii="Inter" w:cs="Inter" w:eastAsia="Inter" w:hAnsi="Inter"/>
          <w:b/>
          <w:bCs/>
          <w:color w:val="0C58E5"/>
          <w:sz w:val="26"/>
          <w:szCs w:val="26"/>
        </w:rPr>
        <w:t xml:space="preserve">10. Recognition for Reliable Attendance</w:t>
      </w:r>
    </w:p>
    <w:p>
      <w:pPr>
        <w:spacing w:after="160" w:line="288"/>
      </w:pPr>
      <w:r>
        <w:rPr>
          <w:rFonts w:ascii="Inter" w:cs="Inter" w:eastAsia="Inter" w:hAnsi="Inter"/>
          <w:color w:val="3B3D4F"/>
          <w:sz w:val="21"/>
          <w:szCs w:val="21"/>
        </w:rPr>
        <w:t xml:space="preserve">[Company Name] recognizes employees who consistently meet attendance expectations. Employees with zero attendance points over a [six-month] period may be eligible for [recognition, an additional PTO day, or inclusion in a quarterly recognition program]. Consider adjusting or removing this section based on your total rewards strategy.</w:t>
      </w:r>
    </w:p>
    <w:p>
      <w:pPr>
        <w:pStyle w:val="Heading1"/>
        <w:pBdr>
          <w:bottom w:val="single" w:color="0C58E5" w:sz="12" w:space="4"/>
        </w:pBdr>
        <w:spacing w:after="160" w:before="360"/>
      </w:pPr>
      <w:r>
        <w:rPr>
          <w:rFonts w:ascii="Inter" w:cs="Inter" w:eastAsia="Inter" w:hAnsi="Inter"/>
          <w:b/>
          <w:bCs/>
          <w:color w:val="0C58E5"/>
          <w:sz w:val="26"/>
          <w:szCs w:val="26"/>
        </w:rPr>
        <w:t xml:space="preserve">11. Employee and Supervisor Responsibilities</w:t>
      </w:r>
    </w:p>
    <w:p>
      <w:pPr>
        <w:pStyle w:val="Heading2"/>
        <w:spacing w:after="120" w:before="260"/>
      </w:pPr>
      <w:r>
        <w:rPr>
          <w:rFonts w:ascii="Inter" w:cs="Inter" w:eastAsia="Inter" w:hAnsi="Inter"/>
          <w:b/>
          <w:bCs/>
          <w:color w:val="3B3D4F"/>
          <w:sz w:val="22"/>
          <w:szCs w:val="22"/>
        </w:rPr>
        <w:t xml:space="preserve">Employees are expected to:</w:t>
      </w:r>
    </w:p>
    <w:p>
      <w:pPr>
        <w:pStyle w:val="ListParagraph"/>
        <w:numPr>
          <w:ilvl w:val="0"/>
          <w:numId w:val="2"/>
        </w:numPr>
        <w:spacing w:after="100" w:line="276"/>
      </w:pPr>
      <w:r>
        <w:rPr>
          <w:rFonts w:ascii="Inter" w:cs="Inter" w:eastAsia="Inter" w:hAnsi="Inter"/>
          <w:color w:val="3B3D4F"/>
          <w:sz w:val="21"/>
          <w:szCs w:val="21"/>
        </w:rPr>
        <w:t xml:space="preserve">Report to work as scheduled and ready to begin on time.</w:t>
      </w:r>
    </w:p>
    <w:p>
      <w:pPr>
        <w:pStyle w:val="ListParagraph"/>
        <w:numPr>
          <w:ilvl w:val="0"/>
          <w:numId w:val="2"/>
        </w:numPr>
        <w:spacing w:after="100" w:line="276"/>
      </w:pPr>
      <w:r>
        <w:rPr>
          <w:rFonts w:ascii="Inter" w:cs="Inter" w:eastAsia="Inter" w:hAnsi="Inter"/>
          <w:color w:val="3B3D4F"/>
          <w:sz w:val="21"/>
          <w:szCs w:val="21"/>
        </w:rPr>
        <w:t xml:space="preserve">Provide advance notice of any absence or late arrival, following the timeframes in Section 5.</w:t>
      </w:r>
    </w:p>
    <w:p>
      <w:pPr>
        <w:pStyle w:val="ListParagraph"/>
        <w:numPr>
          <w:ilvl w:val="0"/>
          <w:numId w:val="2"/>
        </w:numPr>
        <w:spacing w:after="100" w:line="276"/>
      </w:pPr>
      <w:r>
        <w:rPr>
          <w:rFonts w:ascii="Inter" w:cs="Inter" w:eastAsia="Inter" w:hAnsi="Inter"/>
          <w:color w:val="3B3D4F"/>
          <w:sz w:val="21"/>
          <w:szCs w:val="21"/>
        </w:rPr>
        <w:t xml:space="preserve">Request planned time off through [scheduling system] as far in advance as possible.</w:t>
      </w:r>
    </w:p>
    <w:p>
      <w:pPr>
        <w:pStyle w:val="ListParagraph"/>
        <w:numPr>
          <w:ilvl w:val="0"/>
          <w:numId w:val="2"/>
        </w:numPr>
        <w:spacing w:after="100" w:line="276"/>
      </w:pPr>
      <w:r>
        <w:rPr>
          <w:rFonts w:ascii="Inter" w:cs="Inter" w:eastAsia="Inter" w:hAnsi="Inter"/>
          <w:color w:val="3B3D4F"/>
          <w:sz w:val="21"/>
          <w:szCs w:val="21"/>
        </w:rPr>
        <w:t xml:space="preserve">Provide documentation for protected leave when requested.</w:t>
      </w:r>
    </w:p>
    <w:p>
      <w:pPr>
        <w:pStyle w:val="Heading2"/>
        <w:spacing w:after="120" w:before="260"/>
      </w:pPr>
      <w:r>
        <w:rPr>
          <w:rFonts w:ascii="Inter" w:cs="Inter" w:eastAsia="Inter" w:hAnsi="Inter"/>
          <w:b/>
          <w:bCs/>
          <w:color w:val="3B3D4F"/>
          <w:sz w:val="22"/>
          <w:szCs w:val="22"/>
        </w:rPr>
        <w:t xml:space="preserve">Supervisors are expected to:</w:t>
      </w:r>
    </w:p>
    <w:p>
      <w:pPr>
        <w:pStyle w:val="ListParagraph"/>
        <w:numPr>
          <w:ilvl w:val="0"/>
          <w:numId w:val="2"/>
        </w:numPr>
        <w:spacing w:after="100" w:line="276"/>
      </w:pPr>
      <w:r>
        <w:rPr>
          <w:rFonts w:ascii="Inter" w:cs="Inter" w:eastAsia="Inter" w:hAnsi="Inter"/>
          <w:color w:val="3B3D4F"/>
          <w:sz w:val="21"/>
          <w:szCs w:val="21"/>
        </w:rPr>
        <w:t xml:space="preserve">Apply this policy consistently across all employees on their team.</w:t>
      </w:r>
    </w:p>
    <w:p>
      <w:pPr>
        <w:pStyle w:val="ListParagraph"/>
        <w:numPr>
          <w:ilvl w:val="0"/>
          <w:numId w:val="2"/>
        </w:numPr>
        <w:spacing w:after="100" w:line="276"/>
      </w:pPr>
      <w:r>
        <w:rPr>
          <w:rFonts w:ascii="Inter" w:cs="Inter" w:eastAsia="Inter" w:hAnsi="Inter"/>
          <w:color w:val="3B3D4F"/>
          <w:sz w:val="21"/>
          <w:szCs w:val="21"/>
        </w:rPr>
        <w:t xml:space="preserve">Document attendance occurrences promptly and accurately in [system name].</w:t>
      </w:r>
    </w:p>
    <w:p>
      <w:pPr>
        <w:pStyle w:val="ListParagraph"/>
        <w:numPr>
          <w:ilvl w:val="0"/>
          <w:numId w:val="2"/>
        </w:numPr>
        <w:spacing w:after="100" w:line="276"/>
      </w:pPr>
      <w:r>
        <w:rPr>
          <w:rFonts w:ascii="Inter" w:cs="Inter" w:eastAsia="Inter" w:hAnsi="Inter"/>
          <w:color w:val="3B3D4F"/>
          <w:sz w:val="21"/>
          <w:szCs w:val="21"/>
        </w:rPr>
        <w:t xml:space="preserve">Discuss attendance concerns with employees directly and refer to HR when a pattern emerges.</w:t>
      </w:r>
    </w:p>
    <w:p>
      <w:pPr>
        <w:pStyle w:val="ListParagraph"/>
        <w:numPr>
          <w:ilvl w:val="0"/>
          <w:numId w:val="2"/>
        </w:numPr>
        <w:spacing w:after="100" w:line="276"/>
      </w:pPr>
      <w:r>
        <w:rPr>
          <w:rFonts w:ascii="Inter" w:cs="Inter" w:eastAsia="Inter" w:hAnsi="Inter"/>
          <w:color w:val="3B3D4F"/>
          <w:sz w:val="21"/>
          <w:szCs w:val="21"/>
        </w:rPr>
        <w:t xml:space="preserve">Coordinate with HR before issuing discipline tied to a potential protected leave situation.</w:t>
      </w:r>
    </w:p>
    <w:p>
      <w:pPr>
        <w:pStyle w:val="Heading1"/>
        <w:pBdr>
          <w:bottom w:val="single" w:color="0C58E5" w:sz="12" w:space="4"/>
        </w:pBdr>
        <w:spacing w:after="160" w:before="360"/>
      </w:pPr>
      <w:r>
        <w:rPr>
          <w:rFonts w:ascii="Inter" w:cs="Inter" w:eastAsia="Inter" w:hAnsi="Inter"/>
          <w:b/>
          <w:bCs/>
          <w:color w:val="0C58E5"/>
          <w:sz w:val="26"/>
          <w:szCs w:val="26"/>
        </w:rPr>
        <w:t xml:space="preserve">12. Policy Review</w:t>
      </w:r>
    </w:p>
    <w:p>
      <w:pPr>
        <w:spacing w:after="160" w:line="288"/>
      </w:pPr>
      <w:r>
        <w:rPr>
          <w:rFonts w:ascii="Inter" w:cs="Inter" w:eastAsia="Inter" w:hAnsi="Inter"/>
          <w:color w:val="3B3D4F"/>
          <w:sz w:val="21"/>
          <w:szCs w:val="21"/>
        </w:rPr>
        <w:t xml:space="preserve">This policy is reviewed periodically to remain aligned with business needs and applicable law. [Company Name] reserves the right to modify this policy, and employees will be notified of material changes.</w:t>
      </w:r>
    </w:p>
    <w:p>
      <w:pPr>
        <w:spacing w:after="240"/>
      </w:pPr>
    </w:p>
    <w:p>
      <w:pPr>
        <w:pBdr>
          <w:top w:val="single" w:color="B6CEFB" w:sz="8" w:space="8"/>
        </w:pBdr>
        <w:spacing w:after="200" w:before="120"/>
      </w:pPr>
    </w:p>
    <w:p>
      <w:pPr>
        <w:pStyle w:val="Heading2"/>
        <w:spacing w:after="120" w:before="260"/>
      </w:pPr>
      <w:r>
        <w:rPr>
          <w:rFonts w:ascii="Inter" w:cs="Inter" w:eastAsia="Inter" w:hAnsi="Inter"/>
          <w:b/>
          <w:bCs/>
          <w:color w:val="3B3D4F"/>
          <w:sz w:val="22"/>
          <w:szCs w:val="22"/>
        </w:rPr>
        <w:t xml:space="preserve">Acknowledgment</w:t>
      </w:r>
    </w:p>
    <w:p>
      <w:pPr>
        <w:spacing w:after="160" w:line="288"/>
      </w:pPr>
      <w:r>
        <w:rPr>
          <w:rFonts w:ascii="Inter" w:cs="Inter" w:eastAsia="Inter" w:hAnsi="Inter"/>
          <w:color w:val="3B3D4F"/>
          <w:sz w:val="21"/>
          <w:szCs w:val="21"/>
        </w:rPr>
        <w:t xml:space="preserve">I have read and understand the Employee Attendance Policy above. I understand that failure to comply with this policy may result in disciplinary action, up to and including termination.</w:t>
      </w:r>
    </w:p>
    <w:p>
      <w:pPr>
        <w:spacing w:after="300"/>
      </w:pPr>
    </w:p>
    <w:p>
      <w:pPr>
        <w:spacing w:after="200"/>
      </w:pPr>
      <w:r>
        <w:rPr>
          <w:rFonts w:ascii="Inter" w:cs="Inter" w:eastAsia="Inter" w:hAnsi="Inter"/>
          <w:b/>
          <w:bCs/>
          <w:color w:val="3B3D4F"/>
          <w:sz w:val="21"/>
          <w:szCs w:val="21"/>
        </w:rPr>
        <w:t xml:space="preserve">Employee name: </w:t>
      </w:r>
      <w:r>
        <w:rPr>
          <w:rFonts w:ascii="Inter" w:cs="Inter" w:eastAsia="Inter" w:hAnsi="Inter"/>
          <w:color w:val="3B3D4F"/>
          <w:sz w:val="21"/>
          <w:szCs w:val="21"/>
        </w:rPr>
        <w:t xml:space="preserve">_______________________________________</w:t>
      </w:r>
      <w:r>
        <w:rPr>
          <w:rFonts w:ascii="Inter" w:cs="Inter" w:eastAsia="Inter" w:hAnsi="Inter"/>
          <w:b/>
          <w:bCs/>
          <w:color w:val="3B3D4F"/>
          <w:sz w:val="21"/>
          <w:szCs w:val="21"/>
        </w:rPr>
        <w:t xml:space="preserve">     Date: </w:t>
      </w:r>
      <w:r>
        <w:rPr>
          <w:rFonts w:ascii="Inter" w:cs="Inter" w:eastAsia="Inter" w:hAnsi="Inter"/>
          <w:color w:val="3B3D4F"/>
          <w:sz w:val="21"/>
          <w:szCs w:val="21"/>
        </w:rPr>
        <w:t xml:space="preserve">______________</w:t>
      </w:r>
    </w:p>
    <w:p>
      <w:pPr>
        <w:spacing w:after="200"/>
      </w:pPr>
      <w:r>
        <w:rPr>
          <w:rFonts w:ascii="Inter" w:cs="Inter" w:eastAsia="Inter" w:hAnsi="Inter"/>
          <w:b/>
          <w:bCs/>
          <w:color w:val="3B3D4F"/>
          <w:sz w:val="21"/>
          <w:szCs w:val="21"/>
        </w:rPr>
        <w:t xml:space="preserve">Employee signature: </w:t>
      </w:r>
      <w:r>
        <w:rPr>
          <w:rFonts w:ascii="Inter" w:cs="Inter" w:eastAsia="Inter" w:hAnsi="Inter"/>
          <w:color w:val="3B3D4F"/>
          <w:sz w:val="21"/>
          <w:szCs w:val="21"/>
        </w:rPr>
        <w:t xml:space="preserve">_______________________________________</w:t>
      </w:r>
    </w:p>
    <w:p>
      <w:pPr>
        <w:sectPr>
          <w:headerReference w:type="default" r:id="rId9"/>
          <w:footerReference w:type="default" r:id="rId10"/>
          <w:pgSz w:w="12240" w:h="15840" w:orient="portrait"/>
          <w:pgMar w:top="1080" w:right="1080" w:bottom="1080" w:left="1080" w:header="708" w:footer="708" w:gutter="0"/>
          <w:pgNumType w:start="1"/>
          <w:docGrid w:linePitch="360"/>
        </w:sectPr>
      </w:pPr>
    </w:p>
    <w:p>
      <w:pPr>
        <w:spacing w:after="0" w:before="0"/>
      </w:pPr>
      <w:r>
        <w:drawing>
          <wp:anchor distT="0" distB="0" distL="0" distR="0" simplePos="0" allowOverlap="1" behindDoc="0" locked="0" layoutInCell="1" relativeHeight="1">
            <wp:simplePos x="0" y="0"/>
            <wp:positionH relativeFrom="page">
              <wp:posOffset>0</wp:posOffset>
            </wp:positionH>
            <wp:positionV relativeFrom="page">
              <wp:posOffset>0</wp:posOffset>
            </wp:positionV>
            <wp:extent cx="10287000" cy="12858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0287000" cy="12858750"/>
                    </a:xfrm>
                    <a:prstGeom prst="rect">
                      <a:avLst/>
                    </a:prstGeom>
                  </pic:spPr>
                </pic:pic>
              </a:graphicData>
            </a:graphic>
          </wp:anchor>
        </w:drawing>
      </w:r>
    </w:p>
    <w:sectPr>
      <w:headerReference w:type="default" r:id="rId11"/>
      <w:footerReference w:type="default" r:id="rId12"/>
      <w:pgSz w:w="16200" w:h="20250"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ter">
    <w:embedRegular r:id="rId1" w:fontKey="{2679A780-BF86-4E25-B805-F3948898A9DD}"/>
    <w:embedBold r:id="rId2" w:fontKey="{FC7BD583-9641-4964-881B-CD17D2B73AE0}"/>
    <w:embedItalic r:id="rId3" w:fontKey="{F6A8FD30-9BBC-40BF-A2F1-E156A7EC6509}"/>
    <w:embedBoldItalic r:id="rId4" w:fontKey="{9C69A919-84C9-449B-BAAF-445D7239772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nter" w:cs="Inter" w:eastAsia="Inter" w:hAnsi="Inter"/>
        <w:color w:val="3B3D4F"/>
        <w:sz w:val="16"/>
        <w:szCs w:val="16"/>
      </w:rPr>
      <w:t xml:space="preserve">Template provided by Indeavor  |  Page </w:t>
    </w:r>
    <w:r>
      <w:rPr>
        <w:rFonts w:ascii="Inter" w:cs="Inter" w:eastAsia="Inter" w:hAnsi="Inter"/>
        <w:color w:val="3B3D4F"/>
        <w:sz w:val="16"/>
        <w:szCs w:val="16"/>
      </w:rPr>
      <w:fldChar w:fldCharType="begin"/>
      <w:instrText xml:space="preserve">PAGE</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6CEFB" w:sz="8" w:space="6"/>
      </w:pBdr>
      <w:spacing w:after="120"/>
    </w:pPr>
    <w:r>
      <w:rPr>
        <w:rFonts w:ascii="Inter" w:cs="Inter" w:eastAsia="Inter" w:hAnsi="Inter"/>
        <w:b/>
        <w:bCs/>
        <w:color w:val="0C58E5"/>
        <w:sz w:val="18"/>
        <w:szCs w:val="18"/>
      </w:rPr>
      <w:t xml:space="preserve">INDEAVOR</w:t>
    </w:r>
    <w:r>
      <w:rPr>
        <w:rFonts w:ascii="Inter" w:cs="Inter" w:eastAsia="Inter" w:hAnsi="Inter"/>
        <w:color w:val="3B3D4F"/>
        <w:sz w:val="18"/>
        <w:szCs w:val="18"/>
      </w:rPr>
      <w:t xml:space="preserve">  |  Employee Attendance Policy Template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rPr>
        <w:rFonts w:ascii="Inter" w:cs="Inter" w:eastAsia="Inter" w:hAnsi="Inter"/>
        <w:color w:val="0C58E5"/>
      </w:rPr>
    </w:lvl>
    <w:lvl w:ilvl="1" w15:tentative="1">
      <w:start w:val="1"/>
      <w:numFmt w:val="bullet"/>
      <w:lvlText w:val="–"/>
      <w:lvlJc w:val="left"/>
      <w:pPr>
        <w:ind w:left="720" w:hanging="260"/>
      </w:pPr>
      <w:rPr>
        <w:rFonts w:ascii="Inter" w:cs="Inter" w:eastAsia="Inter" w:hAnsi="Inter"/>
        <w:color w:val="3B3D4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mbedTrueTypeFonts w:val="true"/>
  <w:saveSubsetFonts w:val="fals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79f91959fc8e4a91f8d2e6e7d99399c00e60c4b8.jpg"/><Relationship Id="rId14" Type="http://schemas.openxmlformats.org/officeDocument/2006/relationships/image" Target="media/b053c9bbbf3987a7bd037815adad028de5118865.jp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2026-08-11T21:10:29.494Z</dcterms:created>
  <dcterms:modified xsi:type="dcterms:W3CDTF">2026-08-11T21:10:29.497Z</dcterms:modified>
</cp:coreProperties>
</file>

<file path=docProps/custom.xml><?xml version="1.0" encoding="utf-8"?>
<Properties xmlns="http://schemas.openxmlformats.org/officeDocument/2006/custom-properties" xmlns:vt="http://schemas.openxmlformats.org/officeDocument/2006/docPropsVTypes"/>
</file>